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Р И Г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–помощника Ханты-Мансийского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Каримова А.О.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Бирюкова А.К.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подсудимого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Шабадалова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>1476 от 21.12.2020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ордер №</w:t>
      </w:r>
      <w:r>
        <w:rPr>
          <w:rFonts w:ascii="Times New Roman" w:eastAsia="Times New Roman" w:hAnsi="Times New Roman" w:cs="Times New Roman"/>
          <w:sz w:val="28"/>
          <w:szCs w:val="28"/>
        </w:rPr>
        <w:t>424 от 29.05.2024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уголовное дело №1-19</w:t>
      </w:r>
      <w:r>
        <w:rPr>
          <w:rFonts w:ascii="Times New Roman" w:eastAsia="Times New Roman" w:hAnsi="Times New Roman" w:cs="Times New Roman"/>
          <w:sz w:val="28"/>
          <w:szCs w:val="28"/>
        </w:rPr>
        <w:t>-2803/2024 в отношении</w:t>
      </w:r>
    </w:p>
    <w:p>
      <w:pPr>
        <w:spacing w:before="0" w:after="0"/>
        <w:ind w:left="198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Бирюкова Андрея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158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Бирюков Андрей Константинович совершил кражу, то есть тайное хищение чужого имущества, при следующих обстоятельствах.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Он, 23 декабря 2023 года, находясь в квартире №141 дома №111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внезапно возникшим умыслом, направленным на совершение хищения чужого имущества, тайно, из корыстных побуждений, путем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свободного доступа, осознавая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общественную опасность противоправного изъятия чужого имущества, и, желая наступления этих последствий, убедившись, что за его действиями никто не наблюдает, тайно с тумбочки, стоящей напротив кровати в спальной комнате, взял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принадлежащие </w:t>
      </w:r>
      <w:r>
        <w:rPr>
          <w:rStyle w:val="cat-UserDefinedgrp-34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И.Н. </w:t>
      </w:r>
      <w:r>
        <w:rPr>
          <w:rFonts w:ascii="Times New Roman" w:eastAsia="Times New Roman" w:hAnsi="Times New Roman" w:cs="Times New Roman"/>
          <w:sz w:val="28"/>
          <w:szCs w:val="28"/>
        </w:rPr>
        <w:t>смарт часы «</w:t>
      </w:r>
      <w:r>
        <w:rPr>
          <w:rFonts w:ascii="Times New Roman" w:eastAsia="Times New Roman" w:hAnsi="Times New Roman" w:cs="Times New Roman"/>
          <w:sz w:val="28"/>
          <w:szCs w:val="28"/>
        </w:rPr>
        <w:t>Ridle</w:t>
      </w:r>
      <w:r>
        <w:rPr>
          <w:rFonts w:ascii="Times New Roman" w:eastAsia="Times New Roman" w:hAnsi="Times New Roman" w:cs="Times New Roman"/>
          <w:sz w:val="28"/>
          <w:szCs w:val="28"/>
        </w:rPr>
        <w:t>» серого цвета и круглым дисплеем с проводным зарядным устройством белого цвета, стоимостью 1746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мужские духи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Versa</w:t>
      </w:r>
      <w:r>
        <w:rPr>
          <w:rFonts w:ascii="Times New Roman" w:eastAsia="Times New Roman" w:hAnsi="Times New Roman" w:cs="Times New Roman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Eros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стоимостью 2828 рублей, после чего продолжая свой преступный умысел, направленный на хищение чужого имущества, покинул спальню, направившись в свою комнату, впоследствии похищенным распорядился по своему усмотрению, причинив своими умышленными действиями </w:t>
      </w:r>
      <w:r>
        <w:rPr>
          <w:rStyle w:val="cat-UserDefinedgrp-34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И.Н. материальный ущерб на общую сумму 4574 руб.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отерпевшая </w:t>
      </w:r>
      <w:r>
        <w:rPr>
          <w:rStyle w:val="cat-UserDefinedgrp-3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И.Н.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ходатайствовала, до начала судебного заседания представила ходатайство о рассмотрении дела в её отсутствие в особом порядке судебного разбирательства.</w:t>
      </w:r>
    </w:p>
    <w:p>
      <w:pPr>
        <w:widowControl w:val="0"/>
        <w:spacing w:before="0" w:after="0"/>
        <w:ind w:right="4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руководствуясь ч.2 ст.249 УПК РФ счел возможным рассмотреть дело в отсутствии потерпевшей.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подсудимый пояснил, что предъявленное обвинение ему понятно, с ним полностью согласен, вину в совершении преступления признает в полном объеме. Ходатайство о постановлении приговора без проведения судебного разбирательства в общем порядке заявлено им добровольно после консультации с защитником, ходатайство поддерживает, осознает характер ходатайства и последствия постановления приговора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Обсудив ходатайство подсудимого о постановлении приговора без проведения судебного разбирательства в общем порядке, выслушав мнение защитника, государственного обвинителя, выразивших свое согласие на рассмотрение дела в особом порядке и полагавших необходимым его удовлетворить,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возражений потерпевшей на рассмотрение уголовного дела в особом порядке,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удостоверившись, что подсудимый осознает характер и последствия заявленного им ходатайства, что ходатайство заявлено им добровольно и после консультации с защитником, а также то, что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Бирюковым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относится к категории преступлений небольшой тяжести, обвинение обоснованно, подтверждается доказательствами, собранными </w:t>
      </w:r>
      <w:r>
        <w:rPr>
          <w:rFonts w:ascii="Times New Roman" w:eastAsia="Times New Roman" w:hAnsi="Times New Roman" w:cs="Times New Roman"/>
          <w:sz w:val="28"/>
          <w:szCs w:val="28"/>
        </w:rPr>
        <w:t>по уголовному делу, мировой судья пришел к выводу о его удовлетворении и рассмотрении дела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Бирюкова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ч.1 ст.158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как </w:t>
      </w:r>
      <w:r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подсудимому мировой судья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и степень </w:t>
      </w:r>
      <w:hyperlink r:id="rId4" w:anchor="/multilink/10108000/paragraph/1073746664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общественной 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и </w:t>
      </w:r>
      <w:hyperlink r:id="rId4" w:anchor="/document/71288502/entry/13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личность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виновного, в том числе обстоятельства, смягчающие и отягчающие наказание, влияние назначенного наказания на исправление осужденного и на условия жизни его семьи, а также предусмотренные уголовным законом общие начала и цели назначения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также учитывает личность подсудимого, который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привлекался к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здоровья населения и общественной нравственности,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участковым уполномоченным полиции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в целом 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ООО «Агроторг» продавцом-кассиром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где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у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психиатра-нарколога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зание подсудимого,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п.«и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ч.1 ст.61 УК РФ явку с повинной, в качестве которой суд признает объяснение подсудимого, данное до возбуждение уголовного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котором он подробно сообщил об обстоятельствах кражи,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ст.61 УК РФ – раскаяние в совершенном преступ</w:t>
      </w:r>
      <w:r>
        <w:rPr>
          <w:rFonts w:ascii="Times New Roman" w:eastAsia="Times New Roman" w:hAnsi="Times New Roman" w:cs="Times New Roman"/>
          <w:sz w:val="28"/>
          <w:szCs w:val="28"/>
        </w:rPr>
        <w:t>лении, о чем свидетельствую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признательные показания подсудимого в ходе предварительного расследования,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поведение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частичное возмещение ущерб</w:t>
      </w:r>
      <w:r>
        <w:rPr>
          <w:rFonts w:ascii="Times New Roman" w:eastAsia="Times New Roman" w:hAnsi="Times New Roman" w:cs="Times New Roman"/>
          <w:sz w:val="28"/>
          <w:szCs w:val="28"/>
        </w:rPr>
        <w:t>а потерпевшей.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наказание, суд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рецидив преступлений.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характера и степени общественной опасности совершенного преступления, личности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совершившего умышленное преступление в период непогашенной судимости, </w:t>
      </w:r>
      <w:r>
        <w:rPr>
          <w:rFonts w:ascii="Times New Roman" w:eastAsia="Times New Roman" w:hAnsi="Times New Roman" w:cs="Times New Roman"/>
          <w:sz w:val="28"/>
          <w:szCs w:val="28"/>
        </w:rPr>
        <w:t>суд при назначении наказания применяет положения ч.2 ст.68 УК РФ</w:t>
      </w:r>
      <w:r>
        <w:rPr>
          <w:rFonts w:ascii="Times New Roman" w:eastAsia="Times New Roman" w:hAnsi="Times New Roman" w:cs="Times New Roman"/>
          <w:sz w:val="28"/>
          <w:szCs w:val="28"/>
        </w:rPr>
        <w:t>, назначая Бирюкову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лишение свободы на определенный срок, не усматривая оснований для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ч.3 ст.68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менее одной трети максимального срока наиболее строгого вида наказания, предусмотренного за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Бирюковым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положений </w:t>
      </w:r>
      <w:hyperlink r:id="rId5" w:anchor="/document/10108000/entry/6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ст.62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суд не усматривает, поскольку имеется обстоятельство отягчающее наказание рецидив преступлений.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ст.64 УК РФ не имеется, поскольку исключительных обстоятельств судом не установлено, а смягчающие обстоятельства таковыми не являются, поскольку не уменьшают характер и степень общественной опасности совершенного преступления, не связано с целями и мотивами преступления, ролью виновного и его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после совершения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данных о личности подсудимого, отсутствия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жалоб на поведение его в быту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наличия смягчающих наказание обстоятельств, мировой судья пришел к выводу о возможности исправления подсудимого без изоляции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общества, то есть считает возможным назначение Бирюкову А.К. наказания с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положений </w:t>
      </w:r>
      <w:hyperlink r:id="rId6" w:anchor="/document/10108000/entry/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73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</w:t>
      </w:r>
      <w:r>
        <w:rPr>
          <w:rFonts w:ascii="Times New Roman" w:eastAsia="Times New Roman" w:hAnsi="Times New Roman" w:cs="Times New Roman"/>
          <w:sz w:val="28"/>
          <w:szCs w:val="28"/>
        </w:rPr>
        <w:t>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 назначению Бирюкову А.К. наказания в виде лишения свободы с применением ст.73 УК РФ, не имеется, в том числе, не является таковым обстоятельством, наличие в действиях Бирюкова А.К. рецидива преступлений.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назначением </w:t>
      </w:r>
      <w:r>
        <w:rPr>
          <w:rFonts w:ascii="Times New Roman" w:eastAsia="Times New Roman" w:hAnsi="Times New Roman" w:cs="Times New Roman"/>
          <w:sz w:val="28"/>
          <w:szCs w:val="28"/>
        </w:rPr>
        <w:t>Бирюкову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лишения свободы условно, суд не обсуждает вопрос о замене ему наказания в виде лишения свободы принудительными работами.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срока наказания суд также руководствуется требованиями ч.5 ст.62 </w:t>
      </w:r>
      <w:r>
        <w:rPr>
          <w:rFonts w:ascii="Times New Roman" w:eastAsia="Times New Roman" w:hAnsi="Times New Roman" w:cs="Times New Roman"/>
          <w:sz w:val="28"/>
          <w:szCs w:val="28"/>
        </w:rPr>
        <w:t>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после вступления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приговору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смарт-часы оставить у потерпевшей </w:t>
      </w:r>
      <w:r>
        <w:rPr>
          <w:rStyle w:val="cat-UserDefinedgrp-34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И.Н., отменив ответственное хранение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ч.10 ст.316 УПК РФ </w:t>
      </w:r>
      <w:r>
        <w:rPr>
          <w:rFonts w:ascii="Times New Roman" w:eastAsia="Times New Roman" w:hAnsi="Times New Roman" w:cs="Times New Roman"/>
          <w:sz w:val="28"/>
          <w:szCs w:val="28"/>
        </w:rPr>
        <w:t>Бирюков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освобождению от взыскания с него процессуальных издержек.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ст.ст.304, 307-309, 314-316 УПК РФ, мировой судья,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Бирюкова Андрея Константиновича виновным в совершении преступления, предусмотренного ч.1 ст.158 УК РФ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свободы на срок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(десять)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ст.73 УК РФ наказание в виде лишения свободы считать условным, установив испытательный срок осужденному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Возложить на осужденного в период испытательного срока исполнение следующих обязанностей: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 менять постоянного места жительства и работы без уведомления специализированного государственного органа, осуществляющего контроль за поведением условно осужденного,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-являться на регистрацию в специализированный государственный орган, осуществляющий контроль за поведением усл</w:t>
      </w:r>
      <w:r>
        <w:rPr>
          <w:rFonts w:ascii="Times New Roman" w:eastAsia="Times New Roman" w:hAnsi="Times New Roman" w:cs="Times New Roman"/>
          <w:sz w:val="28"/>
          <w:szCs w:val="28"/>
        </w:rPr>
        <w:t>овно осужденного,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Меру процессуального принуждения в виде обязательства о явке в отношении Бирюкова А.К. оставить без изменения до вступления в законную силу приговора суда, после вступления в законную силу приговора суда меру процессуального принуждения отменить.</w:t>
      </w:r>
    </w:p>
    <w:p>
      <w:pPr>
        <w:spacing w:before="0" w:after="0"/>
        <w:ind w:right="14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 виде оплаты услуг защитника отнести на счет федерального бюджета.</w:t>
      </w:r>
    </w:p>
    <w:p>
      <w:pPr>
        <w:spacing w:before="0" w:after="0"/>
        <w:ind w:right="14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после вступления в законную силу приговора суда: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смарт-часы оставить у потерпевшей </w:t>
      </w:r>
      <w:r>
        <w:rPr>
          <w:rStyle w:val="cat-UserDefinedgrp-34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И.Н., отменив ответственное хранение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Ханты-Мансийский районный в течение 15 суток со дня его провозглашения путем подачи жалобы или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непосредственном участии в рассмотрении уголовного дела судом апелляционной инстанции, либо с использованием систем видеоконференцсвязи.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принесения апелляционного представления или жалобы, затрагивающей интересы осужденного, он вправе подать свои возражения в письменном виде.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Осужденный вправе поручать осуществление своей защиты избранному им защитнику либо ходатайствовать перед судом о назначении защитника. Осужденный вправе пригласить адвоката (защитника) по своему выбору, отказаться от защитника, ходатайствовать о назначении другого защитника.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04591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4rplc-51">
    <w:name w:val="cat-UserDefined grp-34 rplc-51"/>
    <w:basedOn w:val="DefaultParagraphFont"/>
  </w:style>
  <w:style w:type="character" w:customStyle="1" w:styleId="cat-UserDefinedgrp-34rplc-56">
    <w:name w:val="cat-UserDefined grp-3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A0AC-1CED-4F8E-A0C7-BA94885B4F2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